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900" w:type="dxa"/>
        <w:jc w:val="center"/>
        <w:tblInd w:w="-1417" w:type="dxa"/>
        <w:shd w:val="clear" w:color="auto" w:fill="auto"/>
        <w:tblLayout w:type="fixed"/>
        <w:tblCellMar>
          <w:top w:w="0" w:type="dxa"/>
          <w:left w:w="0" w:type="dxa"/>
          <w:bottom w:w="0" w:type="dxa"/>
          <w:right w:w="0" w:type="dxa"/>
        </w:tblCellMar>
      </w:tblPr>
      <w:tblGrid>
        <w:gridCol w:w="1229"/>
        <w:gridCol w:w="830"/>
        <w:gridCol w:w="1502"/>
        <w:gridCol w:w="1399"/>
        <w:gridCol w:w="1302"/>
        <w:gridCol w:w="1415"/>
        <w:gridCol w:w="1007"/>
        <w:gridCol w:w="1275"/>
        <w:gridCol w:w="941"/>
      </w:tblGrid>
      <w:tr>
        <w:tblPrEx>
          <w:shd w:val="clear" w:color="auto" w:fill="auto"/>
          <w:tblLayout w:type="fixed"/>
          <w:tblCellMar>
            <w:top w:w="0" w:type="dxa"/>
            <w:left w:w="0" w:type="dxa"/>
            <w:bottom w:w="0" w:type="dxa"/>
            <w:right w:w="0" w:type="dxa"/>
          </w:tblCellMar>
        </w:tblPrEx>
        <w:trPr>
          <w:trHeight w:val="869" w:hRule="atLeast"/>
          <w:jc w:val="center"/>
        </w:trPr>
        <w:tc>
          <w:tcPr>
            <w:tcW w:w="10900" w:type="dxa"/>
            <w:gridSpan w:val="9"/>
            <w:tcBorders>
              <w:top w:val="nil"/>
              <w:left w:val="nil"/>
              <w:bottom w:val="single" w:color="auto"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default" w:ascii="方正小标宋简体" w:hAnsi="方正小标宋简体" w:eastAsia="方正小标宋简体" w:cs="方正小标宋简体"/>
                <w:i w:val="0"/>
                <w:color w:val="000000"/>
                <w:kern w:val="0"/>
                <w:sz w:val="44"/>
                <w:szCs w:val="44"/>
                <w:u w:val="none"/>
                <w:lang w:val="en-US" w:eastAsia="zh-CN" w:bidi="ar"/>
              </w:rPr>
              <w:t>技术需求表（医疗设备）</w:t>
            </w:r>
          </w:p>
        </w:tc>
      </w:tr>
      <w:tr>
        <w:tblPrEx>
          <w:tblLayout w:type="fixed"/>
          <w:tblCellMar>
            <w:top w:w="0" w:type="dxa"/>
            <w:left w:w="0" w:type="dxa"/>
            <w:bottom w:w="0" w:type="dxa"/>
            <w:right w:w="0" w:type="dxa"/>
          </w:tblCellMar>
        </w:tblPrEx>
        <w:trPr>
          <w:trHeight w:val="737" w:hRule="atLeast"/>
          <w:jc w:val="center"/>
        </w:trPr>
        <w:tc>
          <w:tcPr>
            <w:tcW w:w="12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项目名称</w:t>
            </w:r>
          </w:p>
        </w:tc>
        <w:tc>
          <w:tcPr>
            <w:tcW w:w="233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采供血机构建设（全自动核酸检测系统）</w:t>
            </w:r>
          </w:p>
        </w:tc>
        <w:tc>
          <w:tcPr>
            <w:tcW w:w="1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单价</w:t>
            </w:r>
            <w:r>
              <w:rPr>
                <w:rFonts w:hint="eastAsia" w:ascii="黑体" w:hAnsi="宋体" w:eastAsia="黑体" w:cs="黑体"/>
                <w:i w:val="0"/>
                <w:color w:val="000000"/>
                <w:kern w:val="0"/>
                <w:sz w:val="24"/>
                <w:szCs w:val="24"/>
                <w:u w:val="none"/>
                <w:lang w:val="en-US" w:eastAsia="zh-CN" w:bidi="ar"/>
              </w:rPr>
              <w:br w:type="textWrapping"/>
            </w:r>
            <w:r>
              <w:rPr>
                <w:rFonts w:hint="eastAsia" w:ascii="黑体" w:hAnsi="宋体" w:eastAsia="黑体" w:cs="黑体"/>
                <w:i w:val="0"/>
                <w:color w:val="000000"/>
                <w:kern w:val="0"/>
                <w:sz w:val="24"/>
                <w:szCs w:val="24"/>
                <w:u w:val="none"/>
                <w:lang w:val="en-US" w:eastAsia="zh-CN" w:bidi="ar"/>
              </w:rPr>
              <w:t>（万元）</w:t>
            </w:r>
          </w:p>
        </w:tc>
        <w:tc>
          <w:tcPr>
            <w:tcW w:w="13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220</w:t>
            </w:r>
          </w:p>
        </w:tc>
        <w:tc>
          <w:tcPr>
            <w:tcW w:w="14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数量（项）</w:t>
            </w:r>
          </w:p>
        </w:tc>
        <w:tc>
          <w:tcPr>
            <w:tcW w:w="100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2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预算总金额</w:t>
            </w:r>
            <w:r>
              <w:rPr>
                <w:rFonts w:hint="eastAsia" w:ascii="黑体" w:hAnsi="宋体" w:eastAsia="黑体" w:cs="黑体"/>
                <w:i w:val="0"/>
                <w:color w:val="000000"/>
                <w:kern w:val="0"/>
                <w:sz w:val="24"/>
                <w:szCs w:val="24"/>
                <w:u w:val="none"/>
                <w:lang w:val="en-US" w:eastAsia="zh-CN" w:bidi="ar"/>
              </w:rPr>
              <w:br w:type="textWrapping"/>
            </w:r>
            <w:r>
              <w:rPr>
                <w:rFonts w:hint="eastAsia" w:ascii="黑体" w:hAnsi="宋体" w:eastAsia="黑体" w:cs="黑体"/>
                <w:i w:val="0"/>
                <w:color w:val="000000"/>
                <w:kern w:val="0"/>
                <w:sz w:val="24"/>
                <w:szCs w:val="24"/>
                <w:u w:val="none"/>
                <w:lang w:val="en-US" w:eastAsia="zh-CN" w:bidi="ar"/>
              </w:rPr>
              <w:t>（万元）</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220</w:t>
            </w:r>
          </w:p>
        </w:tc>
      </w:tr>
      <w:tr>
        <w:tblPrEx>
          <w:tblLayout w:type="fixed"/>
          <w:tblCellMar>
            <w:top w:w="0" w:type="dxa"/>
            <w:left w:w="0" w:type="dxa"/>
            <w:bottom w:w="0" w:type="dxa"/>
            <w:right w:w="0" w:type="dxa"/>
          </w:tblCellMar>
        </w:tblPrEx>
        <w:trPr>
          <w:trHeight w:val="531" w:hRule="atLeast"/>
          <w:jc w:val="center"/>
        </w:trPr>
        <w:tc>
          <w:tcPr>
            <w:tcW w:w="122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需求类别</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需求名称</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技术参数和需求内容</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备注</w:t>
            </w:r>
          </w:p>
        </w:tc>
      </w:tr>
      <w:tr>
        <w:tblPrEx>
          <w:tblLayout w:type="fixed"/>
          <w:tblCellMar>
            <w:top w:w="0" w:type="dxa"/>
            <w:left w:w="0" w:type="dxa"/>
            <w:bottom w:w="0" w:type="dxa"/>
            <w:right w:w="0" w:type="dxa"/>
          </w:tblCellMar>
        </w:tblPrEx>
        <w:trPr>
          <w:trHeight w:val="1088" w:hRule="atLeast"/>
          <w:jc w:val="center"/>
        </w:trPr>
        <w:tc>
          <w:tcPr>
            <w:tcW w:w="122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Style w:val="4"/>
                <w:rFonts w:hint="eastAsia" w:ascii="宋体" w:hAnsi="宋体" w:eastAsia="宋体" w:cs="宋体"/>
                <w:lang w:val="en-US" w:eastAsia="zh-CN" w:bidi="ar"/>
              </w:rPr>
              <w:t>符合性要求</w:t>
            </w:r>
            <w:r>
              <w:rPr>
                <w:rStyle w:val="5"/>
                <w:rFonts w:hint="eastAsia" w:ascii="宋体" w:hAnsi="宋体" w:eastAsia="宋体" w:cs="宋体"/>
                <w:lang w:val="en-US" w:eastAsia="zh-CN" w:bidi="ar"/>
              </w:rPr>
              <w:t>（*号指标或其他必须响应条款）</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基本要求</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主要用于血液中心、中心血站、输血医学科等采血机构对血液标本进行乙型肝炎病毒、丙型肝炎病毒、人类免疫缺陷病毒的核酸检测</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532"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配置要求</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全自动核酸检测分析仪一台，操作手册1套，孵育器1套</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799"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配套耗材（试剂）要求</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Style w:val="6"/>
                <w:rFonts w:hint="eastAsia" w:ascii="宋体" w:hAnsi="宋体" w:eastAsia="宋体" w:cs="宋体"/>
                <w:lang w:val="en-US" w:eastAsia="zh-CN" w:bidi="ar"/>
              </w:rPr>
              <w:t xml:space="preserve"> </w:t>
            </w:r>
            <w:r>
              <w:rPr>
                <w:rStyle w:val="6"/>
                <w:rFonts w:hint="eastAsia" w:ascii="宋体" w:hAnsi="宋体" w:eastAsia="宋体" w:cs="宋体"/>
                <w:lang w:val="en-US" w:eastAsia="zh-CN" w:bidi="ar"/>
              </w:rPr>
              <w:t>□</w:t>
            </w:r>
            <w:r>
              <w:rPr>
                <w:rStyle w:val="7"/>
                <w:rFonts w:hint="eastAsia" w:ascii="宋体" w:hAnsi="宋体" w:eastAsia="宋体" w:cs="宋体"/>
                <w:sz w:val="24"/>
                <w:szCs w:val="24"/>
                <w:lang w:val="en-US" w:eastAsia="zh-CN" w:bidi="ar"/>
              </w:rPr>
              <w:t xml:space="preserve"> </w:t>
            </w:r>
            <w:r>
              <w:rPr>
                <w:rStyle w:val="6"/>
                <w:rFonts w:hint="eastAsia" w:ascii="宋体" w:hAnsi="宋体" w:eastAsia="宋体" w:cs="宋体"/>
                <w:lang w:val="en-US" w:eastAsia="zh-CN" w:bidi="ar"/>
              </w:rPr>
              <w:t>无配套一次性耗材（试剂）</w:t>
            </w:r>
            <w:r>
              <w:rPr>
                <w:rStyle w:val="6"/>
                <w:rFonts w:hint="eastAsia" w:ascii="宋体" w:hAnsi="宋体" w:eastAsia="宋体" w:cs="宋体"/>
                <w:lang w:val="en-US" w:eastAsia="zh-CN" w:bidi="ar"/>
              </w:rPr>
              <w:br w:type="textWrapping"/>
            </w:r>
            <w:r>
              <w:rPr>
                <w:rStyle w:val="6"/>
                <w:rFonts w:hint="eastAsia" w:ascii="宋体" w:hAnsi="宋体" w:eastAsia="宋体" w:cs="宋体"/>
                <w:lang w:val="en-US" w:eastAsia="zh-CN" w:bidi="ar"/>
              </w:rPr>
              <w:t xml:space="preserve"> </w:t>
            </w:r>
            <w:r>
              <w:rPr>
                <w:rStyle w:val="6"/>
                <w:rFonts w:hint="eastAsia" w:ascii="宋体" w:hAnsi="宋体" w:eastAsia="宋体" w:cs="宋体"/>
                <w:lang w:val="en-US" w:eastAsia="zh-CN" w:bidi="ar"/>
              </w:rPr>
              <w:sym w:font="Wingdings 2" w:char="0052"/>
            </w:r>
            <w:r>
              <w:rPr>
                <w:rStyle w:val="6"/>
                <w:rFonts w:hint="eastAsia" w:ascii="宋体" w:hAnsi="宋体" w:eastAsia="宋体" w:cs="宋体"/>
                <w:lang w:val="en-US" w:eastAsia="zh-CN" w:bidi="ar"/>
              </w:rPr>
              <w:t xml:space="preserve">有配套一次性耗材（试剂）（□开放 </w:t>
            </w:r>
            <w:r>
              <w:rPr>
                <w:rStyle w:val="6"/>
                <w:rFonts w:hint="eastAsia" w:ascii="宋体" w:hAnsi="宋体" w:eastAsia="宋体" w:cs="宋体"/>
                <w:lang w:val="en-US" w:eastAsia="zh-CN" w:bidi="ar"/>
              </w:rPr>
              <w:sym w:font="Wingdings 2" w:char="0052"/>
            </w:r>
            <w:r>
              <w:rPr>
                <w:rStyle w:val="6"/>
                <w:rFonts w:hint="eastAsia" w:ascii="宋体" w:hAnsi="宋体" w:eastAsia="宋体" w:cs="宋体"/>
                <w:lang w:val="en-US" w:eastAsia="zh-CN" w:bidi="ar"/>
              </w:rPr>
              <w:t>封闭）</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Style w:val="4"/>
                <w:rFonts w:hint="eastAsia" w:ascii="宋体" w:hAnsi="宋体" w:eastAsia="宋体" w:cs="宋体"/>
                <w:lang w:val="en-US" w:eastAsia="zh-CN" w:bidi="ar"/>
              </w:rPr>
              <w:t>资格性要求</w:t>
            </w:r>
            <w:r>
              <w:rPr>
                <w:rStyle w:val="5"/>
                <w:rFonts w:hint="eastAsia" w:ascii="宋体" w:hAnsi="宋体" w:eastAsia="宋体" w:cs="宋体"/>
                <w:lang w:val="en-US" w:eastAsia="zh-CN" w:bidi="ar"/>
              </w:rPr>
              <w:t>（指对产品或企业投标资格的要求）</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产品资格</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Style w:val="9"/>
                <w:rFonts w:hint="eastAsia" w:ascii="宋体" w:hAnsi="宋体" w:eastAsia="宋体" w:cs="宋体"/>
                <w:lang w:val="en-US" w:eastAsia="zh-CN" w:bidi="ar"/>
              </w:rPr>
              <w:t>具备</w:t>
            </w:r>
            <w:r>
              <w:rPr>
                <w:rStyle w:val="10"/>
                <w:rFonts w:hint="eastAsia" w:ascii="宋体" w:hAnsi="宋体" w:eastAsia="宋体" w:cs="宋体"/>
                <w:lang w:val="en-US" w:eastAsia="zh-CN" w:bidi="ar"/>
              </w:rPr>
              <w:t>三</w:t>
            </w:r>
            <w:r>
              <w:rPr>
                <w:rStyle w:val="9"/>
                <w:rFonts w:hint="eastAsia" w:ascii="宋体" w:hAnsi="宋体" w:eastAsia="宋体" w:cs="宋体"/>
                <w:lang w:val="en-US" w:eastAsia="zh-CN" w:bidi="ar"/>
              </w:rPr>
              <w:t>类医疗器械注册,FDA及CE认证</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502"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企业资格</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供应商须提供营业执照</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供应商须提供《医疗器械经营许可证》或经营备案凭证</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供应商若为生产企业须提供《医疗器械生产许可证》(非生产企业可不提供)</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供应商之间应不存在控股、管理等关联关系</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供应商近3年没有发生过重大质量安全事故的书面声明</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其他资格性条款</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所投产品和品牌具有较高知名度及广泛普及度</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技术性要求</w:t>
            </w: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技术力量</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Style w:val="9"/>
                <w:rFonts w:hint="eastAsia" w:ascii="宋体" w:hAnsi="宋体" w:eastAsia="宋体" w:cs="宋体"/>
                <w:lang w:val="en-US" w:eastAsia="zh-CN" w:bidi="ar"/>
              </w:rPr>
              <w:t>所投产品具有</w:t>
            </w:r>
            <w:r>
              <w:rPr>
                <w:rStyle w:val="6"/>
                <w:rFonts w:hint="eastAsia" w:ascii="宋体" w:hAnsi="宋体" w:eastAsia="宋体" w:cs="宋体"/>
                <w:lang w:val="en-US" w:eastAsia="zh-CN" w:bidi="ar"/>
              </w:rPr>
              <w:t>FDA及</w:t>
            </w:r>
            <w:r>
              <w:rPr>
                <w:rStyle w:val="9"/>
                <w:rFonts w:hint="eastAsia" w:ascii="宋体" w:hAnsi="宋体" w:eastAsia="宋体" w:cs="宋体"/>
                <w:lang w:val="en-US" w:eastAsia="zh-CN" w:bidi="ar"/>
              </w:rPr>
              <w:t>CE认证</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检测方法学：</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采用转录介导扩增技术TMA</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检测模式：</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单人份检测，可与酶联免疫实验平行检测，和酶联免疫实验结果同时发报告</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自动化程度：</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核酸提取、扩增、读数三部分在同一套设备中自动完成，无需人工干预，只需在开始检测前将待测样品和所需试剂及耗材装载入仪器指定位置，即可开始自动检测。仪器自动完成样品核酸提取、扩增、检测、结果报告输出，以及产物的最终灭活处理</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检测通量：</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在符合血站或输血科核酸实验室空间和布局要求前提下，8小时完成250个单人份核酸检测</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全封闭系统：</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核酸提取、扩增、检测在同一密闭系统中进行，核酸纯化产物的转移无需人工干预</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阳性样品病毒种类的鉴别实验平台：</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鉴别实验能够在同一实验室的同一套平台上进行，并且该试剂与进行筛查时试剂的检测灵敏度相当，保证最终结果的准确可靠</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内置的过程控制：</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确保检测结果的准确性和一致性，所有实验过程都在同一个样品管中进行，包括核酸提取、扩增和检测</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应急标本检测：</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检测系统能满足随时插入应急标本进行检测的需求</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配套试剂要求：</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*2.9.1</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试剂灵敏度</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Style w:val="9"/>
                <w:rFonts w:hint="eastAsia" w:ascii="宋体" w:hAnsi="宋体" w:eastAsia="宋体" w:cs="宋体"/>
                <w:lang w:val="en-US" w:eastAsia="zh-CN" w:bidi="ar"/>
              </w:rPr>
              <w:t>在常规检测模式下，试剂灵敏度要求（95LOD),HBV</w:t>
            </w:r>
            <w:r>
              <w:rPr>
                <w:rStyle w:val="11"/>
                <w:rFonts w:hint="eastAsia" w:ascii="宋体" w:hAnsi="宋体" w:eastAsia="宋体" w:cs="宋体"/>
                <w:lang w:val="en-US" w:eastAsia="zh-CN" w:bidi="ar"/>
              </w:rPr>
              <w:t>≤</w:t>
            </w:r>
            <w:r>
              <w:rPr>
                <w:rStyle w:val="9"/>
                <w:rFonts w:hint="eastAsia" w:ascii="宋体" w:hAnsi="宋体" w:eastAsia="宋体" w:cs="宋体"/>
                <w:lang w:val="en-US" w:eastAsia="zh-CN" w:bidi="ar"/>
              </w:rPr>
              <w:t>5.0IU/ml;HCV</w:t>
            </w:r>
            <w:r>
              <w:rPr>
                <w:rStyle w:val="11"/>
                <w:rFonts w:hint="eastAsia" w:ascii="宋体" w:hAnsi="宋体" w:eastAsia="宋体" w:cs="宋体"/>
                <w:lang w:val="en-US" w:eastAsia="zh-CN" w:bidi="ar"/>
              </w:rPr>
              <w:t>≤</w:t>
            </w:r>
            <w:r>
              <w:rPr>
                <w:rStyle w:val="9"/>
                <w:rFonts w:hint="eastAsia" w:ascii="宋体" w:hAnsi="宋体" w:eastAsia="宋体" w:cs="宋体"/>
                <w:lang w:val="en-US" w:eastAsia="zh-CN" w:bidi="ar"/>
              </w:rPr>
              <w:t>4.0IU/ml;HIV-1</w:t>
            </w:r>
            <w:r>
              <w:rPr>
                <w:rStyle w:val="11"/>
                <w:rFonts w:hint="eastAsia" w:ascii="宋体" w:hAnsi="宋体" w:eastAsia="宋体" w:cs="宋体"/>
                <w:lang w:val="en-US" w:eastAsia="zh-CN" w:bidi="ar"/>
              </w:rPr>
              <w:t>≤</w:t>
            </w:r>
            <w:r>
              <w:rPr>
                <w:rStyle w:val="9"/>
                <w:rFonts w:hint="eastAsia" w:ascii="宋体" w:hAnsi="宋体" w:eastAsia="宋体" w:cs="宋体"/>
                <w:lang w:val="en-US" w:eastAsia="zh-CN" w:bidi="ar"/>
              </w:rPr>
              <w:t>20.0IU/ml</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2.9.2</w:t>
            </w:r>
          </w:p>
        </w:tc>
        <w:tc>
          <w:tcPr>
            <w:tcW w:w="15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试剂孵育：</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提供专门的试剂孵育设备，来保证试剂由冷冻或者冷藏恢复到室温后达到最佳的使用效果，该设备可设定和调整孵育时间、监控孵育温度等功能。</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502"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售后服务</w:t>
            </w: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保修年限≥2年，保修期内开机率不低于95%（按365日/年计算，含节假日)，未达到要求的开机率天数，按双倍天数顺延保修期。</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保修期内按维修手册要求提供定期维护保养服务。</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维修到达现场时间≤0.5个工作日（京内）</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维修到达现场时间≤3个工作日（京外）</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0" w:hRule="atLeast"/>
          <w:jc w:val="center"/>
        </w:trPr>
        <w:tc>
          <w:tcPr>
            <w:tcW w:w="122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02"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6398"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保修期内免费升级和软件维护；保修期外，原软件维护仅收工时费，至少提供按小时计费和按故障点计费两种方式，用户可自行选择</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Layout w:type="fixed"/>
          <w:tblCellMar>
            <w:top w:w="0" w:type="dxa"/>
            <w:left w:w="0" w:type="dxa"/>
            <w:bottom w:w="0" w:type="dxa"/>
            <w:right w:w="0" w:type="dxa"/>
          </w:tblCellMar>
        </w:tblPrEx>
        <w:trPr>
          <w:trHeight w:val="312" w:hRule="atLeast"/>
          <w:jc w:val="center"/>
        </w:trPr>
        <w:tc>
          <w:tcPr>
            <w:tcW w:w="10900" w:type="dxa"/>
            <w:gridSpan w:val="9"/>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说明：1.加注“*”号的技术指标为关键指标，≥1项未达到招标文件要求，即做废标处理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2.加注“·”号的技术指标为重要指标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3.加注“*”、“·”号的技术指标均需投标企业提供证明材料</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4.如有配套耗材（试剂），需求单位同时需提报医疗设备配套耗材（试剂）用量测算表</w:t>
            </w:r>
          </w:p>
        </w:tc>
      </w:tr>
      <w:tr>
        <w:tblPrEx>
          <w:tblLayout w:type="fixed"/>
          <w:tblCellMar>
            <w:top w:w="0" w:type="dxa"/>
            <w:left w:w="0" w:type="dxa"/>
            <w:bottom w:w="0" w:type="dxa"/>
            <w:right w:w="0" w:type="dxa"/>
          </w:tblCellMar>
        </w:tblPrEx>
        <w:trPr>
          <w:trHeight w:val="450" w:hRule="atLeast"/>
          <w:jc w:val="center"/>
        </w:trPr>
        <w:tc>
          <w:tcPr>
            <w:tcW w:w="10900" w:type="dxa"/>
            <w:gridSpan w:val="9"/>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r>
    </w:tbl>
    <w:p/>
    <w:tbl>
      <w:tblPr>
        <w:tblW w:w="10830" w:type="dxa"/>
        <w:jc w:val="center"/>
        <w:tblInd w:w="-1020" w:type="dxa"/>
        <w:shd w:val="clear"/>
        <w:tblLayout w:type="fixed"/>
        <w:tblCellMar>
          <w:top w:w="0" w:type="dxa"/>
          <w:left w:w="0" w:type="dxa"/>
          <w:bottom w:w="0" w:type="dxa"/>
          <w:right w:w="0" w:type="dxa"/>
        </w:tblCellMar>
      </w:tblPr>
      <w:tblGrid>
        <w:gridCol w:w="1185"/>
        <w:gridCol w:w="3004"/>
        <w:gridCol w:w="1173"/>
        <w:gridCol w:w="3163"/>
        <w:gridCol w:w="2305"/>
      </w:tblGrid>
      <w:tr>
        <w:tblPrEx>
          <w:tblLayout w:type="fixed"/>
          <w:tblCellMar>
            <w:top w:w="0" w:type="dxa"/>
            <w:left w:w="0" w:type="dxa"/>
            <w:bottom w:w="0" w:type="dxa"/>
            <w:right w:w="0" w:type="dxa"/>
          </w:tblCellMar>
        </w:tblPrEx>
        <w:trPr>
          <w:trHeight w:val="787" w:hRule="atLeast"/>
          <w:jc w:val="center"/>
        </w:trPr>
        <w:tc>
          <w:tcPr>
            <w:tcW w:w="10830" w:type="dxa"/>
            <w:gridSpan w:val="5"/>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bookmarkStart w:id="0" w:name="_GoBack"/>
            <w:r>
              <w:rPr>
                <w:rFonts w:hint="default" w:ascii="方正小标宋简体" w:hAnsi="方正小标宋简体" w:eastAsia="方正小标宋简体" w:cs="方正小标宋简体"/>
                <w:i w:val="0"/>
                <w:color w:val="000000"/>
                <w:kern w:val="0"/>
                <w:sz w:val="44"/>
                <w:szCs w:val="44"/>
                <w:u w:val="none"/>
                <w:bdr w:val="none" w:color="auto" w:sz="0" w:space="0"/>
                <w:lang w:val="en-US" w:eastAsia="zh-CN" w:bidi="ar"/>
              </w:rPr>
              <w:t>医疗设备配套封闭试剂用量测算表</w:t>
            </w:r>
          </w:p>
        </w:tc>
      </w:tr>
      <w:tr>
        <w:tblPrEx>
          <w:tblLayout w:type="fixed"/>
          <w:tblCellMar>
            <w:top w:w="0" w:type="dxa"/>
            <w:left w:w="0" w:type="dxa"/>
            <w:bottom w:w="0" w:type="dxa"/>
            <w:right w:w="0" w:type="dxa"/>
          </w:tblCellMar>
        </w:tblPrEx>
        <w:trPr>
          <w:trHeight w:val="915" w:hRule="atLeast"/>
          <w:jc w:val="center"/>
        </w:trPr>
        <w:tc>
          <w:tcPr>
            <w:tcW w:w="118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序号</w:t>
            </w:r>
          </w:p>
        </w:tc>
        <w:tc>
          <w:tcPr>
            <w:tcW w:w="300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检测（治疗）项目</w:t>
            </w:r>
          </w:p>
        </w:tc>
        <w:tc>
          <w:tcPr>
            <w:tcW w:w="117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简称</w:t>
            </w:r>
          </w:p>
        </w:tc>
        <w:tc>
          <w:tcPr>
            <w:tcW w:w="31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单台设备预估3年</w:t>
            </w:r>
            <w:r>
              <w:rPr>
                <w:rFonts w:hint="eastAsia" w:ascii="黑体" w:hAnsi="宋体" w:eastAsia="黑体" w:cs="黑体"/>
                <w:i w:val="0"/>
                <w:color w:val="000000"/>
                <w:kern w:val="0"/>
                <w:sz w:val="24"/>
                <w:szCs w:val="24"/>
                <w:u w:val="none"/>
                <w:bdr w:val="none" w:color="auto" w:sz="0" w:space="0"/>
                <w:lang w:val="en-US" w:eastAsia="zh-CN" w:bidi="ar"/>
              </w:rPr>
              <w:br w:type="textWrapping"/>
            </w:r>
            <w:r>
              <w:rPr>
                <w:rFonts w:hint="eastAsia" w:ascii="黑体" w:hAnsi="宋体" w:eastAsia="黑体" w:cs="黑体"/>
                <w:i w:val="0"/>
                <w:color w:val="000000"/>
                <w:kern w:val="0"/>
                <w:sz w:val="24"/>
                <w:szCs w:val="24"/>
                <w:u w:val="none"/>
                <w:bdr w:val="none" w:color="auto" w:sz="0" w:space="0"/>
                <w:lang w:val="en-US" w:eastAsia="zh-CN" w:bidi="ar"/>
              </w:rPr>
              <w:t>检测（治疗）数量</w:t>
            </w:r>
            <w:r>
              <w:rPr>
                <w:rFonts w:hint="eastAsia" w:ascii="黑体" w:hAnsi="宋体" w:eastAsia="黑体" w:cs="黑体"/>
                <w:i w:val="0"/>
                <w:color w:val="000000"/>
                <w:kern w:val="0"/>
                <w:sz w:val="24"/>
                <w:szCs w:val="24"/>
                <w:u w:val="none"/>
                <w:bdr w:val="none" w:color="auto" w:sz="0" w:space="0"/>
                <w:lang w:val="en-US" w:eastAsia="zh-CN" w:bidi="ar"/>
              </w:rPr>
              <w:br w:type="textWrapping"/>
            </w:r>
            <w:r>
              <w:rPr>
                <w:rFonts w:hint="eastAsia" w:ascii="黑体" w:hAnsi="宋体" w:eastAsia="黑体" w:cs="黑体"/>
                <w:i w:val="0"/>
                <w:color w:val="000000"/>
                <w:kern w:val="0"/>
                <w:sz w:val="24"/>
                <w:szCs w:val="24"/>
                <w:u w:val="none"/>
                <w:bdr w:val="none" w:color="auto" w:sz="0" w:space="0"/>
                <w:lang w:val="en-US" w:eastAsia="zh-CN" w:bidi="ar"/>
              </w:rPr>
              <w:t>（人份/台）</w:t>
            </w:r>
          </w:p>
        </w:tc>
        <w:tc>
          <w:tcPr>
            <w:tcW w:w="23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备注</w:t>
            </w:r>
          </w:p>
        </w:tc>
      </w:tr>
      <w:tr>
        <w:tblPrEx>
          <w:tblLayout w:type="fixed"/>
          <w:tblCellMar>
            <w:top w:w="0" w:type="dxa"/>
            <w:left w:w="0" w:type="dxa"/>
            <w:bottom w:w="0" w:type="dxa"/>
            <w:right w:w="0" w:type="dxa"/>
          </w:tblCellMar>
        </w:tblPrEx>
        <w:trPr>
          <w:trHeight w:val="502" w:hRule="atLeast"/>
          <w:jc w:val="center"/>
        </w:trPr>
        <w:tc>
          <w:tcPr>
            <w:tcW w:w="1185"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3004"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乙肝丙肝艾滋核酸检测</w:t>
            </w:r>
          </w:p>
        </w:tc>
        <w:tc>
          <w:tcPr>
            <w:tcW w:w="1173"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163"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约6万人份</w:t>
            </w:r>
          </w:p>
        </w:tc>
        <w:tc>
          <w:tcPr>
            <w:tcW w:w="2305"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994" w:hRule="atLeast"/>
          <w:jc w:val="center"/>
        </w:trPr>
        <w:tc>
          <w:tcPr>
            <w:tcW w:w="10830"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说明：“医疗设备开展的检测治疗项目”是指使用科室根据学科建设规划或近年业务开展情况，填报拟采购设备所开展项目的3年检测(治疗)预估量。</w:t>
            </w:r>
          </w:p>
        </w:tc>
      </w:tr>
      <w:bookmarkEnd w:id="0"/>
    </w:tbl>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Microsoft YaHei UI">
    <w:altName w:val="Latha"/>
    <w:panose1 w:val="00000000000000000000"/>
    <w:charset w:val="00"/>
    <w:family w:val="auto"/>
    <w:pitch w:val="default"/>
    <w:sig w:usb0="00000000" w:usb1="00000000" w:usb2="00000000" w:usb3="00000000" w:csb0="00000000" w:csb1="00000000"/>
  </w:font>
  <w:font w:name="仿宋">
    <w:altName w:val="宋体"/>
    <w:panose1 w:val="00000000000000000000"/>
    <w:charset w:val="00"/>
    <w:family w:val="auto"/>
    <w:pitch w:val="default"/>
    <w:sig w:usb0="00000000" w:usb1="00000000" w:usb2="00000000" w:usb3="00000000" w:csb0="00000000" w:csb1="00000000"/>
  </w:font>
  <w:font w:name="方正小标宋简体">
    <w:altName w:val="宋体-方正超大字符集"/>
    <w:panose1 w:val="00000000000000000000"/>
    <w:charset w:val="86"/>
    <w:family w:val="script"/>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61007A87" w:usb1="80000000" w:usb2="00000008" w:usb3="00000000" w:csb0="200101FF" w:csb1="20280000"/>
  </w:font>
  <w:font w:name="Latha">
    <w:panose1 w:val="02000400000000000000"/>
    <w:charset w:val="00"/>
    <w:family w:val="auto"/>
    <w:pitch w:val="default"/>
    <w:sig w:usb0="00100000" w:usb1="00000000" w:usb2="00000000" w:usb3="00000000" w:csb0="00000000" w:csb1="00000000"/>
  </w:font>
  <w:font w:name="方正小标宋简体">
    <w:altName w:val="宋体-方正超大字符集"/>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61B0202F"/>
    <w:rsid w:val="6D861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131"/>
    <w:basedOn w:val="3"/>
    <w:uiPriority w:val="0"/>
    <w:rPr>
      <w:rFonts w:hint="eastAsia" w:ascii="黑体" w:eastAsia="黑体" w:cs="黑体"/>
      <w:color w:val="000000"/>
      <w:sz w:val="24"/>
      <w:szCs w:val="24"/>
      <w:u w:val="none"/>
    </w:rPr>
  </w:style>
  <w:style w:type="character" w:customStyle="1" w:styleId="5">
    <w:name w:val="font51"/>
    <w:basedOn w:val="3"/>
    <w:qFormat/>
    <w:uiPriority w:val="0"/>
    <w:rPr>
      <w:rFonts w:ascii="楷体_GB2312" w:eastAsia="楷体_GB2312" w:cs="楷体_GB2312"/>
      <w:color w:val="000000"/>
      <w:sz w:val="24"/>
      <w:szCs w:val="24"/>
      <w:u w:val="none"/>
    </w:rPr>
  </w:style>
  <w:style w:type="character" w:customStyle="1" w:styleId="6">
    <w:name w:val="font81"/>
    <w:basedOn w:val="3"/>
    <w:qFormat/>
    <w:uiPriority w:val="0"/>
    <w:rPr>
      <w:rFonts w:hint="eastAsia" w:ascii="宋体" w:hAnsi="宋体" w:eastAsia="宋体" w:cs="宋体"/>
      <w:color w:val="000000"/>
      <w:sz w:val="24"/>
      <w:szCs w:val="24"/>
      <w:u w:val="none"/>
    </w:rPr>
  </w:style>
  <w:style w:type="character" w:customStyle="1" w:styleId="7">
    <w:name w:val="font112"/>
    <w:basedOn w:val="3"/>
    <w:qFormat/>
    <w:uiPriority w:val="0"/>
    <w:rPr>
      <w:rFonts w:ascii="Wingdings 2" w:hAnsi="Wingdings 2" w:eastAsia="Wingdings 2" w:cs="Wingdings 2"/>
      <w:color w:val="000000"/>
      <w:sz w:val="24"/>
      <w:szCs w:val="24"/>
      <w:u w:val="none"/>
    </w:rPr>
  </w:style>
  <w:style w:type="character" w:customStyle="1" w:styleId="8">
    <w:name w:val="font41"/>
    <w:basedOn w:val="3"/>
    <w:uiPriority w:val="0"/>
    <w:rPr>
      <w:rFonts w:ascii="Wingdings" w:hAnsi="Wingdings" w:cs="Wingdings"/>
      <w:color w:val="000000"/>
      <w:sz w:val="24"/>
      <w:szCs w:val="24"/>
      <w:u w:val="none"/>
    </w:rPr>
  </w:style>
  <w:style w:type="character" w:customStyle="1" w:styleId="9">
    <w:name w:val="font91"/>
    <w:basedOn w:val="3"/>
    <w:qFormat/>
    <w:uiPriority w:val="0"/>
    <w:rPr>
      <w:rFonts w:hint="eastAsia" w:ascii="仿宋_GB2312" w:eastAsia="仿宋_GB2312" w:cs="仿宋_GB2312"/>
      <w:color w:val="000000"/>
      <w:sz w:val="24"/>
      <w:szCs w:val="24"/>
      <w:u w:val="none"/>
    </w:rPr>
  </w:style>
  <w:style w:type="character" w:customStyle="1" w:styleId="10">
    <w:name w:val="font101"/>
    <w:basedOn w:val="3"/>
    <w:qFormat/>
    <w:uiPriority w:val="0"/>
    <w:rPr>
      <w:rFonts w:ascii="Microsoft YaHei UI" w:hAnsi="Microsoft YaHei UI" w:eastAsia="Microsoft YaHei UI" w:cs="Microsoft YaHei UI"/>
      <w:color w:val="000000"/>
      <w:sz w:val="24"/>
      <w:szCs w:val="24"/>
      <w:u w:val="none"/>
    </w:rPr>
  </w:style>
  <w:style w:type="character" w:customStyle="1" w:styleId="11">
    <w:name w:val="font31"/>
    <w:basedOn w:val="3"/>
    <w:qFormat/>
    <w:uiPriority w:val="0"/>
    <w:rPr>
      <w:rFonts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2023-03-28T00:11:00Z</dcterms:created>
  <dc:creator>doctor</dc:creator>
  <cp:lastModifiedBy>doctor</cp:lastModifiedBy>
  <dcterms:modified xsi:type="dcterms:W3CDTF">2023-03-29T01:12:46Z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